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1C791" w14:textId="77777777" w:rsidR="00BE63CC" w:rsidRPr="00C26A63" w:rsidRDefault="00BE63CC" w:rsidP="00BE63CC">
      <w:pPr>
        <w:rPr>
          <w:b/>
          <w:bCs/>
          <w:sz w:val="40"/>
          <w:szCs w:val="40"/>
        </w:rPr>
      </w:pPr>
      <w:r w:rsidRPr="00C26A63">
        <w:rPr>
          <w:b/>
          <w:bCs/>
          <w:sz w:val="40"/>
          <w:szCs w:val="40"/>
        </w:rPr>
        <w:t>Papal Symbols</w:t>
      </w:r>
    </w:p>
    <w:p w14:paraId="23C9A912" w14:textId="3CA5D84C" w:rsidR="00AA63D6" w:rsidRPr="00D90A79" w:rsidRDefault="00C26A63">
      <w:pPr>
        <w:rPr>
          <w:szCs w:val="24"/>
        </w:rPr>
      </w:pPr>
      <w:hyperlink r:id="rId6" w:history="1">
        <w:r w:rsidRPr="00D90A79">
          <w:rPr>
            <w:rStyle w:val="Hyperlink"/>
            <w:color w:val="auto"/>
            <w:szCs w:val="24"/>
            <w:u w:val="none"/>
          </w:rPr>
          <w:t>http://www.boston-catholic-journal.com/a-primer-to-catholic-symbolism.htm</w:t>
        </w:r>
      </w:hyperlink>
    </w:p>
    <w:p w14:paraId="7085DF5C" w14:textId="69CC9A30" w:rsidR="00C26A63" w:rsidRPr="008E6AD2" w:rsidRDefault="008E6AD2">
      <w:pPr>
        <w:rPr>
          <w:szCs w:val="24"/>
        </w:rPr>
      </w:pPr>
      <w:r w:rsidRPr="008E6AD2">
        <w:rPr>
          <w:szCs w:val="24"/>
        </w:rPr>
        <w:t>(article 33)</w:t>
      </w:r>
    </w:p>
    <w:p w14:paraId="1E0CFA96" w14:textId="72F61DA3" w:rsidR="00C26A63" w:rsidRDefault="00C26A63"/>
    <w:p w14:paraId="38F60FDA" w14:textId="7D6213F6" w:rsidR="00C26A63" w:rsidRPr="00C26A63" w:rsidRDefault="00C26A63" w:rsidP="00C26A63">
      <w:pPr>
        <w:spacing w:before="100" w:beforeAutospacing="1" w:after="100" w:afterAutospacing="1" w:line="560" w:lineRule="atLeast"/>
        <w:jc w:val="center"/>
        <w:rPr>
          <w:rFonts w:eastAsia="Times New Roman" w:cs="Times New Roman"/>
          <w:color w:val="35170C"/>
          <w:sz w:val="28"/>
          <w:szCs w:val="28"/>
        </w:rPr>
      </w:pPr>
      <w:r w:rsidRPr="00C26A63">
        <w:rPr>
          <w:rFonts w:eastAsia="Times New Roman" w:cs="Times New Roman"/>
          <w:noProof/>
          <w:color w:val="35170C"/>
          <w:sz w:val="27"/>
          <w:szCs w:val="27"/>
        </w:rPr>
        <w:drawing>
          <wp:inline distT="0" distB="0" distL="0" distR="0" wp14:anchorId="5146EF2A" wp14:editId="2951F148">
            <wp:extent cx="1409700" cy="1914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914525"/>
                    </a:xfrm>
                    <a:prstGeom prst="rect">
                      <a:avLst/>
                    </a:prstGeom>
                    <a:noFill/>
                    <a:ln>
                      <a:noFill/>
                    </a:ln>
                  </pic:spPr>
                </pic:pic>
              </a:graphicData>
            </a:graphic>
          </wp:inline>
        </w:drawing>
      </w:r>
    </w:p>
    <w:p w14:paraId="52CAF9AF" w14:textId="776601D4" w:rsidR="00C26A63" w:rsidRPr="00C26A63" w:rsidRDefault="00C26A63" w:rsidP="00C26A63">
      <w:pPr>
        <w:spacing w:before="100" w:beforeAutospacing="1" w:after="100" w:afterAutospacing="1" w:line="840" w:lineRule="atLeast"/>
        <w:jc w:val="center"/>
        <w:outlineLvl w:val="1"/>
        <w:rPr>
          <w:rFonts w:eastAsia="Times New Roman" w:cs="Times New Roman"/>
          <w:b/>
          <w:bCs/>
          <w:color w:val="35170C"/>
          <w:sz w:val="36"/>
          <w:szCs w:val="36"/>
        </w:rPr>
      </w:pPr>
      <w:bookmarkStart w:id="0" w:name="The_Keys_of_the_Kingdom_"/>
      <w:r>
        <w:rPr>
          <w:rFonts w:eastAsia="Times New Roman" w:cs="Times New Roman"/>
          <w:b/>
          <w:bCs/>
          <w:color w:val="35170C"/>
          <w:sz w:val="48"/>
          <w:szCs w:val="48"/>
        </w:rPr>
        <w:t>“</w:t>
      </w:r>
      <w:r w:rsidRPr="00C26A63">
        <w:rPr>
          <w:rFonts w:eastAsia="Times New Roman" w:cs="Times New Roman"/>
          <w:b/>
          <w:bCs/>
          <w:color w:val="35170C"/>
          <w:sz w:val="48"/>
          <w:szCs w:val="48"/>
        </w:rPr>
        <w:t>The Keys of the Kingdom</w:t>
      </w:r>
      <w:bookmarkEnd w:id="0"/>
      <w:r>
        <w:rPr>
          <w:rFonts w:eastAsia="Times New Roman" w:cs="Times New Roman"/>
          <w:b/>
          <w:bCs/>
          <w:color w:val="35170C"/>
          <w:sz w:val="48"/>
          <w:szCs w:val="48"/>
        </w:rPr>
        <w:t>”</w:t>
      </w:r>
    </w:p>
    <w:p w14:paraId="4FD98018" w14:textId="6AFA56A5" w:rsidR="00C26A63" w:rsidRPr="00D90A79" w:rsidRDefault="00C26A63" w:rsidP="00C26A63">
      <w:pPr>
        <w:spacing w:before="100" w:beforeAutospacing="1" w:after="100" w:afterAutospacing="1" w:line="560" w:lineRule="atLeast"/>
        <w:rPr>
          <w:rFonts w:eastAsia="Times New Roman" w:cs="Times New Roman"/>
          <w:szCs w:val="24"/>
        </w:rPr>
      </w:pPr>
      <w:r w:rsidRPr="00C26A63">
        <w:rPr>
          <w:rFonts w:eastAsia="Times New Roman" w:cs="Times New Roman"/>
          <w:color w:val="35170C"/>
          <w:sz w:val="27"/>
          <w:szCs w:val="27"/>
        </w:rPr>
        <w:br/>
      </w:r>
      <w:r w:rsidR="00971FA9">
        <w:rPr>
          <w:rFonts w:eastAsia="Times New Roman" w:cs="Times New Roman"/>
          <w:szCs w:val="24"/>
        </w:rPr>
        <w:t xml:space="preserve">     </w:t>
      </w:r>
      <w:r w:rsidRPr="00D90A79">
        <w:rPr>
          <w:rFonts w:eastAsia="Times New Roman" w:cs="Times New Roman"/>
          <w:szCs w:val="24"/>
        </w:rPr>
        <w:t>The Keys</w:t>
      </w:r>
      <w:r w:rsidRPr="00D90A79">
        <w:rPr>
          <w:rFonts w:eastAsia="Times New Roman" w:cs="Times New Roman"/>
          <w:b/>
          <w:bCs/>
          <w:szCs w:val="24"/>
        </w:rPr>
        <w:t>,</w:t>
      </w:r>
      <w:r w:rsidRPr="00D90A79">
        <w:rPr>
          <w:rFonts w:eastAsia="Times New Roman" w:cs="Times New Roman"/>
          <w:szCs w:val="24"/>
        </w:rPr>
        <w:t xml:space="preserve"> permitting the opening and closing of doors, symbolizes the one who possesses authority and dominion over a kingdom.</w:t>
      </w:r>
      <w:r w:rsidRPr="00D90A79">
        <w:rPr>
          <w:rFonts w:eastAsia="Times New Roman" w:cs="Times New Roman"/>
          <w:szCs w:val="24"/>
        </w:rPr>
        <w:br/>
      </w:r>
      <w:r w:rsidR="00971FA9">
        <w:rPr>
          <w:rFonts w:eastAsia="Times New Roman" w:cs="Times New Roman"/>
          <w:szCs w:val="24"/>
        </w:rPr>
        <w:t xml:space="preserve">     </w:t>
      </w:r>
      <w:r w:rsidRPr="00D90A79">
        <w:rPr>
          <w:rFonts w:eastAsia="Times New Roman" w:cs="Times New Roman"/>
          <w:szCs w:val="24"/>
        </w:rPr>
        <w:t>In the book of the prophet Isaiah Ch 9, Verse 5-6 we read;</w:t>
      </w:r>
      <w:r w:rsidRPr="00D90A79">
        <w:rPr>
          <w:rFonts w:eastAsia="Times New Roman" w:cs="Times New Roman"/>
          <w:szCs w:val="24"/>
        </w:rPr>
        <w:br/>
        <w:t>“A Child is born to us, a Son is given us; the royal key is laid upon His shoulder, and His name is proclaimed: “Wonderful Counselor, Mighty God, Everlasting Father, Prince of Peace.”</w:t>
      </w:r>
      <w:r w:rsidRPr="00D90A79">
        <w:rPr>
          <w:rFonts w:eastAsia="Times New Roman" w:cs="Times New Roman"/>
          <w:szCs w:val="24"/>
        </w:rPr>
        <w:br/>
        <w:t>And in Isaiah chapter 22 verses 20-24 we read of Eliakim being invested with authority and power, through the bestowing of the key:</w:t>
      </w:r>
      <w:r w:rsidRPr="00D90A79">
        <w:rPr>
          <w:rFonts w:eastAsia="Times New Roman" w:cs="Times New Roman"/>
          <w:szCs w:val="24"/>
        </w:rPr>
        <w:br/>
        <w:t xml:space="preserve">“On that day I will summon my servant Eliakim, son of Hilkiah. I will clothe him with your robe, I will strengthen him with your girdle, I will give him your authority, and he will be a father to the inhabitants of Jerusalem and to the people of Judah. Upon his shoulder I will place </w:t>
      </w:r>
      <w:r w:rsidRPr="00D90A79">
        <w:rPr>
          <w:rFonts w:eastAsia="Times New Roman" w:cs="Times New Roman"/>
          <w:szCs w:val="24"/>
        </w:rPr>
        <w:lastRenderedPageBreak/>
        <w:t>the key of the house of David:  what he opens, no one shall shut; what he shuts, no one shall open.”</w:t>
      </w:r>
      <w:r w:rsidRPr="00D90A79">
        <w:rPr>
          <w:rFonts w:eastAsia="Times New Roman" w:cs="Times New Roman"/>
          <w:szCs w:val="24"/>
        </w:rPr>
        <w:br/>
      </w:r>
      <w:r w:rsidR="00971FA9">
        <w:rPr>
          <w:rFonts w:eastAsia="Times New Roman" w:cs="Times New Roman"/>
          <w:szCs w:val="24"/>
        </w:rPr>
        <w:t xml:space="preserve">     </w:t>
      </w:r>
      <w:r w:rsidRPr="00D90A79">
        <w:rPr>
          <w:rFonts w:eastAsia="Times New Roman" w:cs="Times New Roman"/>
          <w:szCs w:val="24"/>
        </w:rPr>
        <w:t>The ancient keys were about a yard long, made of wood or metal. On public occasions the steward placed the key on his shoulder, hence to have the key upon one's shoulder meant to be in authority, to have the keeping of something.</w:t>
      </w:r>
      <w:r w:rsidRPr="00D90A79">
        <w:rPr>
          <w:rFonts w:eastAsia="Times New Roman" w:cs="Times New Roman"/>
          <w:szCs w:val="24"/>
        </w:rPr>
        <w:br/>
      </w:r>
      <w:r w:rsidR="00971FA9">
        <w:rPr>
          <w:rFonts w:eastAsia="Times New Roman" w:cs="Times New Roman"/>
          <w:szCs w:val="24"/>
        </w:rPr>
        <w:t xml:space="preserve">     </w:t>
      </w:r>
      <w:r w:rsidRPr="00D90A79">
        <w:rPr>
          <w:rFonts w:eastAsia="Times New Roman" w:cs="Times New Roman"/>
          <w:szCs w:val="24"/>
        </w:rPr>
        <w:t>The power of the keys was given to St. Peter by Jesus Christ himself;</w:t>
      </w:r>
    </w:p>
    <w:p w14:paraId="66140A88" w14:textId="05C71541" w:rsidR="00C26A63" w:rsidRPr="00D90A79" w:rsidRDefault="00C26A63" w:rsidP="00C26A63">
      <w:pPr>
        <w:spacing w:beforeAutospacing="1" w:after="100" w:afterAutospacing="1" w:line="560" w:lineRule="atLeast"/>
        <w:rPr>
          <w:rFonts w:eastAsia="Times New Roman" w:cs="Times New Roman"/>
          <w:szCs w:val="24"/>
        </w:rPr>
      </w:pPr>
      <w:r w:rsidRPr="00D90A79">
        <w:rPr>
          <w:rFonts w:eastAsia="Times New Roman" w:cs="Times New Roman"/>
          <w:szCs w:val="24"/>
        </w:rPr>
        <w:t>“And now I say to you. You are Peter (or, the Rock) and on this rock I will build my Church; and never will the power of death overcome it. I will give you the keys of the Kingdom of Heaven; whatever you bind on earth shall be bound in Heaven, and what you unbind on earth will be unbound in Heaven” (Saint Matthew 16:18-22)</w:t>
      </w:r>
      <w:r w:rsidR="007D57B6">
        <w:rPr>
          <w:rFonts w:eastAsia="Times New Roman" w:cs="Times New Roman"/>
          <w:szCs w:val="24"/>
        </w:rPr>
        <w:t>.</w:t>
      </w:r>
    </w:p>
    <w:p w14:paraId="29E5003D" w14:textId="63881D65" w:rsidR="00C26A63" w:rsidRPr="00D90A79" w:rsidRDefault="007D57B6" w:rsidP="00C26A63">
      <w:pPr>
        <w:spacing w:before="100" w:beforeAutospacing="1" w:after="100" w:afterAutospacing="1" w:line="560" w:lineRule="atLeast"/>
        <w:rPr>
          <w:rFonts w:eastAsia="Times New Roman" w:cs="Times New Roman"/>
          <w:szCs w:val="24"/>
        </w:rPr>
      </w:pPr>
      <w:r>
        <w:rPr>
          <w:rFonts w:eastAsia="Times New Roman" w:cs="Times New Roman"/>
          <w:szCs w:val="24"/>
        </w:rPr>
        <w:t xml:space="preserve">     </w:t>
      </w:r>
      <w:r w:rsidR="00C26A63" w:rsidRPr="00D90A79">
        <w:rPr>
          <w:rFonts w:eastAsia="Times New Roman" w:cs="Times New Roman"/>
          <w:szCs w:val="24"/>
        </w:rPr>
        <w:t>The power of the keys is the supreme authority vested in the pope as successor of St. Peter. St. Peter is always represented in Christian art with two keys in his hand, they are consequently the insignia of the papacy, and are borne saltire-wise, one of Gold and the other of Silver.</w:t>
      </w:r>
      <w:r w:rsidR="00C26A63" w:rsidRPr="00D90A79">
        <w:rPr>
          <w:rFonts w:eastAsia="Times New Roman" w:cs="Times New Roman"/>
          <w:szCs w:val="24"/>
        </w:rPr>
        <w:br/>
      </w:r>
      <w:r>
        <w:rPr>
          <w:rFonts w:eastAsia="Times New Roman" w:cs="Times New Roman"/>
          <w:szCs w:val="24"/>
        </w:rPr>
        <w:t xml:space="preserve">     </w:t>
      </w:r>
      <w:r w:rsidR="00C26A63" w:rsidRPr="00D90A79">
        <w:rPr>
          <w:rFonts w:eastAsia="Times New Roman" w:cs="Times New Roman"/>
          <w:szCs w:val="24"/>
        </w:rPr>
        <w:t>The supreme Pontiff has the God-given authority to open or close the doors on the Treasury of the Faith and its practice, and to unlock and reveal the truth to us as children of the Church. Ours is to offer loving obedience to the Church, obedience in the fullest sense of the word of listening and putting what we hear into practice.</w:t>
      </w:r>
    </w:p>
    <w:p w14:paraId="4A6742AC" w14:textId="77777777" w:rsidR="00C26A63" w:rsidRPr="00D90A79" w:rsidRDefault="00C26A63">
      <w:pPr>
        <w:rPr>
          <w:szCs w:val="24"/>
        </w:rPr>
      </w:pPr>
    </w:p>
    <w:sectPr w:rsidR="00C26A63" w:rsidRPr="00D90A7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DD06C" w14:textId="77777777" w:rsidR="00AD1BDC" w:rsidRDefault="00AD1BDC" w:rsidP="007D57B6">
      <w:pPr>
        <w:spacing w:after="0" w:line="240" w:lineRule="auto"/>
      </w:pPr>
      <w:r>
        <w:separator/>
      </w:r>
    </w:p>
  </w:endnote>
  <w:endnote w:type="continuationSeparator" w:id="0">
    <w:p w14:paraId="1173E26D" w14:textId="77777777" w:rsidR="00AD1BDC" w:rsidRDefault="00AD1BDC" w:rsidP="007D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090B" w14:textId="77777777" w:rsidR="007D57B6" w:rsidRDefault="007D5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078068"/>
      <w:docPartObj>
        <w:docPartGallery w:val="Page Numbers (Bottom of Page)"/>
        <w:docPartUnique/>
      </w:docPartObj>
    </w:sdtPr>
    <w:sdtEndPr>
      <w:rPr>
        <w:noProof/>
      </w:rPr>
    </w:sdtEndPr>
    <w:sdtContent>
      <w:p w14:paraId="505321C3" w14:textId="47E2B634" w:rsidR="007D57B6" w:rsidRDefault="007D5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CD96E6" w14:textId="77777777" w:rsidR="007D57B6" w:rsidRDefault="007D5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62C0" w14:textId="77777777" w:rsidR="007D57B6" w:rsidRDefault="007D5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08B0" w14:textId="77777777" w:rsidR="00AD1BDC" w:rsidRDefault="00AD1BDC" w:rsidP="007D57B6">
      <w:pPr>
        <w:spacing w:after="0" w:line="240" w:lineRule="auto"/>
      </w:pPr>
      <w:r>
        <w:separator/>
      </w:r>
    </w:p>
  </w:footnote>
  <w:footnote w:type="continuationSeparator" w:id="0">
    <w:p w14:paraId="34478624" w14:textId="77777777" w:rsidR="00AD1BDC" w:rsidRDefault="00AD1BDC" w:rsidP="007D5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4B27" w14:textId="77777777" w:rsidR="007D57B6" w:rsidRDefault="007D5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B4B6" w14:textId="77777777" w:rsidR="007D57B6" w:rsidRDefault="007D5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8497" w14:textId="77777777" w:rsidR="007D57B6" w:rsidRDefault="007D57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63"/>
    <w:rsid w:val="000945BC"/>
    <w:rsid w:val="004105D3"/>
    <w:rsid w:val="007D57B6"/>
    <w:rsid w:val="008E6AD2"/>
    <w:rsid w:val="00971FA9"/>
    <w:rsid w:val="00AA63D6"/>
    <w:rsid w:val="00AD1BDC"/>
    <w:rsid w:val="00BE63CC"/>
    <w:rsid w:val="00C26A63"/>
    <w:rsid w:val="00D90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A893"/>
  <w15:chartTrackingRefBased/>
  <w15:docId w15:val="{39EC3F94-2192-4F37-9623-443BB5E3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A63"/>
    <w:rPr>
      <w:color w:val="0563C1" w:themeColor="hyperlink"/>
      <w:u w:val="single"/>
    </w:rPr>
  </w:style>
  <w:style w:type="character" w:styleId="UnresolvedMention">
    <w:name w:val="Unresolved Mention"/>
    <w:basedOn w:val="DefaultParagraphFont"/>
    <w:uiPriority w:val="99"/>
    <w:semiHidden/>
    <w:unhideWhenUsed/>
    <w:rsid w:val="00C26A63"/>
    <w:rPr>
      <w:color w:val="605E5C"/>
      <w:shd w:val="clear" w:color="auto" w:fill="E1DFDD"/>
    </w:rPr>
  </w:style>
  <w:style w:type="paragraph" w:styleId="Header">
    <w:name w:val="header"/>
    <w:basedOn w:val="Normal"/>
    <w:link w:val="HeaderChar"/>
    <w:uiPriority w:val="99"/>
    <w:unhideWhenUsed/>
    <w:rsid w:val="007D5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7B6"/>
  </w:style>
  <w:style w:type="paragraph" w:styleId="Footer">
    <w:name w:val="footer"/>
    <w:basedOn w:val="Normal"/>
    <w:link w:val="FooterChar"/>
    <w:uiPriority w:val="99"/>
    <w:unhideWhenUsed/>
    <w:rsid w:val="007D5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85257">
      <w:bodyDiv w:val="1"/>
      <w:marLeft w:val="0"/>
      <w:marRight w:val="0"/>
      <w:marTop w:val="0"/>
      <w:marBottom w:val="0"/>
      <w:divBdr>
        <w:top w:val="none" w:sz="0" w:space="0" w:color="auto"/>
        <w:left w:val="none" w:sz="0" w:space="0" w:color="auto"/>
        <w:bottom w:val="none" w:sz="0" w:space="0" w:color="auto"/>
        <w:right w:val="none" w:sz="0" w:space="0" w:color="auto"/>
      </w:divBdr>
      <w:divsChild>
        <w:div w:id="94398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342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894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ston-catholic-journal.com/a-primer-to-catholic-symbolism.ht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9</cp:revision>
  <dcterms:created xsi:type="dcterms:W3CDTF">2022-09-04T18:25:00Z</dcterms:created>
  <dcterms:modified xsi:type="dcterms:W3CDTF">2022-09-18T14:17:00Z</dcterms:modified>
</cp:coreProperties>
</file>